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1E1" w:rsidRDefault="008D5822" w:rsidP="008D5822">
      <w:pPr>
        <w:bidi/>
        <w:rPr>
          <w:sz w:val="32"/>
          <w:szCs w:val="32"/>
          <w:rtl/>
          <w:lang w:bidi="ar-DZ"/>
        </w:rPr>
      </w:pPr>
      <w:r>
        <w:rPr>
          <w:rFonts w:hint="cs"/>
          <w:rtl/>
          <w:lang w:bidi="ar-DZ"/>
        </w:rPr>
        <w:t xml:space="preserve">                                                            </w:t>
      </w:r>
      <w:r w:rsidRPr="008D5822">
        <w:rPr>
          <w:rFonts w:hint="cs"/>
          <w:sz w:val="32"/>
          <w:szCs w:val="32"/>
          <w:rtl/>
          <w:lang w:bidi="ar-DZ"/>
        </w:rPr>
        <w:t xml:space="preserve"> </w:t>
      </w:r>
      <w:r>
        <w:rPr>
          <w:rFonts w:hint="cs"/>
          <w:sz w:val="32"/>
          <w:szCs w:val="32"/>
          <w:rtl/>
          <w:lang w:bidi="ar-DZ"/>
        </w:rPr>
        <w:t>نموذج الإجابة</w:t>
      </w:r>
    </w:p>
    <w:p w:rsidR="008D5822" w:rsidRDefault="008D5822" w:rsidP="008D5822">
      <w:pPr>
        <w:bidi/>
        <w:rPr>
          <w:sz w:val="32"/>
          <w:szCs w:val="32"/>
          <w:lang w:bidi="ar-DZ"/>
        </w:rPr>
      </w:pPr>
      <w:r>
        <w:rPr>
          <w:rFonts w:hint="cs"/>
          <w:sz w:val="32"/>
          <w:szCs w:val="32"/>
          <w:rtl/>
          <w:lang w:bidi="ar-DZ"/>
        </w:rPr>
        <w:t xml:space="preserve">                  المقياس : الأدب المقارن        المستوى : 2 دراسات لغوية</w:t>
      </w:r>
    </w:p>
    <w:p w:rsidR="00562823" w:rsidRDefault="00562823" w:rsidP="00562823">
      <w:pPr>
        <w:bidi/>
        <w:rPr>
          <w:rFonts w:hint="cs"/>
          <w:sz w:val="32"/>
          <w:szCs w:val="32"/>
          <w:rtl/>
          <w:lang w:bidi="ar-DZ"/>
        </w:rPr>
      </w:pPr>
      <w:r>
        <w:rPr>
          <w:rFonts w:hint="cs"/>
          <w:sz w:val="32"/>
          <w:szCs w:val="32"/>
          <w:rtl/>
          <w:lang w:bidi="ar-DZ"/>
        </w:rPr>
        <w:t>الأستاذ : الطاهر حسيني</w:t>
      </w:r>
    </w:p>
    <w:p w:rsidR="008D5822" w:rsidRDefault="008D5822" w:rsidP="008D5822">
      <w:pPr>
        <w:bidi/>
        <w:rPr>
          <w:sz w:val="32"/>
          <w:szCs w:val="32"/>
          <w:rtl/>
          <w:lang w:bidi="ar-DZ"/>
        </w:rPr>
      </w:pPr>
      <w:r>
        <w:rPr>
          <w:rFonts w:hint="cs"/>
          <w:sz w:val="32"/>
          <w:szCs w:val="32"/>
          <w:rtl/>
          <w:lang w:bidi="ar-DZ"/>
        </w:rPr>
        <w:t>ج 1-</w:t>
      </w:r>
    </w:p>
    <w:p w:rsidR="008D5822" w:rsidRDefault="008D5822" w:rsidP="008D5822">
      <w:pPr>
        <w:bidi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 w:rsidRPr="008D5822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  الكلمات الواجب</w:t>
      </w:r>
      <w:r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توفرها في التعريف: علم </w:t>
      </w:r>
      <w:r>
        <w:rPr>
          <w:rFonts w:ascii="Traditional Arabic" w:hAnsi="Traditional Arabic" w:cs="Traditional Arabic"/>
          <w:sz w:val="32"/>
          <w:szCs w:val="32"/>
          <w:rtl/>
          <w:lang w:bidi="ar-DZ"/>
        </w:rPr>
        <w:t>–</w:t>
      </w:r>
      <w:r w:rsidR="00DD4D34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</w:t>
      </w:r>
      <w:r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الاتصال و التواصل </w:t>
      </w:r>
      <w:r>
        <w:rPr>
          <w:rFonts w:ascii="Traditional Arabic" w:hAnsi="Traditional Arabic" w:cs="Traditional Arabic"/>
          <w:sz w:val="32"/>
          <w:szCs w:val="32"/>
          <w:rtl/>
          <w:lang w:bidi="ar-DZ"/>
        </w:rPr>
        <w:t>–</w:t>
      </w:r>
      <w:r w:rsidR="00DD4D34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</w:t>
      </w:r>
      <w:r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التأثير و التأثر </w:t>
      </w:r>
      <w:r w:rsidR="00DD4D34">
        <w:rPr>
          <w:rFonts w:ascii="Traditional Arabic" w:hAnsi="Traditional Arabic" w:cs="Traditional Arabic"/>
          <w:sz w:val="32"/>
          <w:szCs w:val="32"/>
          <w:rtl/>
          <w:lang w:bidi="ar-DZ"/>
        </w:rPr>
        <w:t>–</w:t>
      </w:r>
      <w:r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</w:t>
      </w:r>
      <w:r w:rsidR="00163EB2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الآداب</w:t>
      </w:r>
      <w:r w:rsidR="00DD4D34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و الفنون </w:t>
      </w:r>
      <w:r w:rsidR="00DD4D34">
        <w:rPr>
          <w:rFonts w:ascii="Traditional Arabic" w:hAnsi="Traditional Arabic" w:cs="Traditional Arabic"/>
          <w:sz w:val="32"/>
          <w:szCs w:val="32"/>
          <w:rtl/>
          <w:lang w:bidi="ar-DZ"/>
        </w:rPr>
        <w:t>–</w:t>
      </w:r>
      <w:r w:rsidR="00DD4D34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القوميات المختلفة - في الحاضر و الماضي....</w:t>
      </w:r>
    </w:p>
    <w:p w:rsidR="00DD4D34" w:rsidRDefault="00DD4D34" w:rsidP="00DD4D34">
      <w:pPr>
        <w:bidi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يراعى في التقييم : الأسلوب ، حسن الصياغة و دقة التعبير  .</w:t>
      </w:r>
    </w:p>
    <w:p w:rsidR="00DD4D34" w:rsidRDefault="00DD4D34" w:rsidP="00DD4D34">
      <w:pPr>
        <w:bidi/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</w:pPr>
      <w:r w:rsidRPr="00DD4D34">
        <w:rPr>
          <w:rFonts w:ascii="Traditional Arabic" w:hAnsi="Traditional Arabic" w:cs="Traditional Arabic" w:hint="cs"/>
          <w:b/>
          <w:bCs/>
          <w:sz w:val="32"/>
          <w:szCs w:val="32"/>
          <w:rtl/>
          <w:lang w:bidi="ar-DZ"/>
        </w:rPr>
        <w:t>ج2-</w:t>
      </w:r>
    </w:p>
    <w:p w:rsidR="00DD4D34" w:rsidRDefault="00DD4D34" w:rsidP="00DD4D34">
      <w:pPr>
        <w:bidi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 w:rsidRPr="00957EF7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العوامل المساعدة على </w:t>
      </w:r>
      <w:r w:rsidR="00957EF7" w:rsidRPr="00957EF7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انتشار</w:t>
      </w:r>
      <w:r w:rsidRPr="00957EF7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الأدب المقارن</w:t>
      </w:r>
      <w:r w:rsidR="00957EF7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:</w:t>
      </w:r>
    </w:p>
    <w:p w:rsidR="00957EF7" w:rsidRDefault="00957EF7" w:rsidP="00957EF7">
      <w:pPr>
        <w:pStyle w:val="a3"/>
        <w:numPr>
          <w:ilvl w:val="0"/>
          <w:numId w:val="1"/>
        </w:numPr>
        <w:bidi/>
        <w:rPr>
          <w:rFonts w:ascii="Traditional Arabic" w:hAnsi="Traditional Arabic" w:cs="Traditional Arabic"/>
          <w:sz w:val="32"/>
          <w:szCs w:val="32"/>
          <w:lang w:bidi="ar-DZ"/>
        </w:rPr>
      </w:pPr>
      <w:r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النهضة العلمية الأوروبية و ما فتحته من </w:t>
      </w:r>
      <w:r w:rsidR="001965E4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أبواب</w:t>
      </w:r>
      <w:r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</w:t>
      </w:r>
      <w:r w:rsidR="001965E4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أمام</w:t>
      </w:r>
      <w:r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الباحثين و الدارسين كان </w:t>
      </w:r>
      <w:r w:rsidR="001965E4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نتيجتها</w:t>
      </w:r>
      <w:r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دراسات عميقة علمية و أدبية ...</w:t>
      </w:r>
    </w:p>
    <w:p w:rsidR="00957EF7" w:rsidRDefault="00957EF7" w:rsidP="007D7059">
      <w:pPr>
        <w:pStyle w:val="a3"/>
        <w:numPr>
          <w:ilvl w:val="0"/>
          <w:numId w:val="1"/>
        </w:numPr>
        <w:bidi/>
        <w:rPr>
          <w:rFonts w:ascii="Traditional Arabic" w:hAnsi="Traditional Arabic" w:cs="Traditional Arabic"/>
          <w:sz w:val="32"/>
          <w:szCs w:val="32"/>
          <w:lang w:bidi="ar-DZ"/>
        </w:rPr>
      </w:pPr>
      <w:r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المجلات المتخصصة التي أسسها المهتمون بالدراسات المقارنة والتي لعبت دورا كبيرا في التعريف بهذا العلم و</w:t>
      </w:r>
      <w:r w:rsidR="001965E4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الترويج له و نشر</w:t>
      </w:r>
      <w:r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ه في م</w:t>
      </w:r>
      <w:r w:rsidR="001965E4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ختلف أنحاء العالم من خلال ما كانت تنشره </w:t>
      </w:r>
      <w:r w:rsidR="007D7059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من</w:t>
      </w:r>
      <w:r w:rsidR="001965E4" w:rsidRPr="007D7059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دراسات و مقالات متخصصة.... منها مجلة العالمين الفرنسية </w:t>
      </w:r>
      <w:r w:rsidR="007D7059" w:rsidRPr="007D7059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1828</w:t>
      </w:r>
      <w:r w:rsidR="001965E4" w:rsidRPr="007D7059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</w:t>
      </w:r>
      <w:r w:rsidR="007D7059" w:rsidRPr="007D7059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و مجلة الأدب المقارن المجرية 1877...</w:t>
      </w:r>
    </w:p>
    <w:p w:rsidR="007D7059" w:rsidRDefault="00A51138" w:rsidP="007D7059">
      <w:pPr>
        <w:pStyle w:val="a3"/>
        <w:numPr>
          <w:ilvl w:val="0"/>
          <w:numId w:val="1"/>
        </w:numPr>
        <w:bidi/>
        <w:rPr>
          <w:rFonts w:ascii="Traditional Arabic" w:hAnsi="Traditional Arabic" w:cs="Traditional Arabic"/>
          <w:sz w:val="32"/>
          <w:szCs w:val="32"/>
          <w:lang w:bidi="ar-DZ"/>
        </w:rPr>
      </w:pPr>
      <w:r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المؤتمرات</w:t>
      </w:r>
      <w:r w:rsidR="00775BEB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العالمية التي كانت تعقد في مختلف دول العالم خاصة تلك التي كان اهتمامها شديد وحرصها كبير على نشر </w:t>
      </w:r>
      <w:r w:rsidR="00163EB2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الأدب</w:t>
      </w:r>
      <w:r w:rsidR="00775BEB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المقارن و تطوير دراساته </w:t>
      </w:r>
      <w:r w:rsidR="00E87252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..</w:t>
      </w:r>
      <w:r w:rsidR="00163EB2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مؤ</w:t>
      </w:r>
      <w:r w:rsidR="00775BEB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تمرات كا</w:t>
      </w:r>
      <w:r w:rsidR="00E87252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نت ساحة يلتقي فيها المقارنون يعرضون و يتبادلون الأفكار...</w:t>
      </w:r>
    </w:p>
    <w:p w:rsidR="00E87252" w:rsidRDefault="00163EB2" w:rsidP="00E87252">
      <w:pPr>
        <w:pStyle w:val="a3"/>
        <w:numPr>
          <w:ilvl w:val="0"/>
          <w:numId w:val="1"/>
        </w:numPr>
        <w:bidi/>
        <w:rPr>
          <w:rFonts w:ascii="Traditional Arabic" w:hAnsi="Traditional Arabic" w:cs="Traditional Arabic"/>
          <w:sz w:val="32"/>
          <w:szCs w:val="32"/>
          <w:lang w:bidi="ar-DZ"/>
        </w:rPr>
      </w:pPr>
      <w:r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الأعمال </w:t>
      </w:r>
      <w:proofErr w:type="spellStart"/>
      <w:r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البيبلوغرافية</w:t>
      </w:r>
      <w:proofErr w:type="spellEnd"/>
      <w:r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وهي مؤ</w:t>
      </w:r>
      <w:r w:rsidR="00E87252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لفات ضخمة متخصصة تجمع ما كتب في الأدب المقارن تصنفها و تبوبها بطريقة علمية تسهل على الدارسين </w:t>
      </w:r>
      <w:r w:rsidR="000F7B01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و المهتمين الاطلاع عليها و الاستفادة منها...من ذلك الدليل الزمني </w:t>
      </w:r>
      <w:r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للآداب</w:t>
      </w:r>
      <w:r w:rsidR="000F7B01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الحديثة  لفان </w:t>
      </w:r>
      <w:proofErr w:type="spellStart"/>
      <w:r w:rsidR="000F7B01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تيجيم</w:t>
      </w:r>
      <w:proofErr w:type="spellEnd"/>
      <w:r w:rsidR="000F7B01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</w:t>
      </w:r>
      <w:r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الذي يضم فهرس أربعة قرون من المؤ</w:t>
      </w:r>
      <w:r w:rsidR="000F7B01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لفات و كذلك المرجع المفهرس للأدب المقارن 53 </w:t>
      </w:r>
      <w:r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ألف</w:t>
      </w:r>
      <w:r w:rsidR="000F7B01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مرجع ...</w:t>
      </w:r>
    </w:p>
    <w:p w:rsidR="000F7B01" w:rsidRDefault="000F7B01" w:rsidP="000F7B01">
      <w:pPr>
        <w:pStyle w:val="a3"/>
        <w:numPr>
          <w:ilvl w:val="0"/>
          <w:numId w:val="1"/>
        </w:numPr>
        <w:bidi/>
        <w:rPr>
          <w:rFonts w:ascii="Traditional Arabic" w:hAnsi="Traditional Arabic" w:cs="Traditional Arabic"/>
          <w:sz w:val="32"/>
          <w:szCs w:val="32"/>
          <w:lang w:bidi="ar-DZ"/>
        </w:rPr>
      </w:pPr>
      <w:r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الجمعيات الوطنية و الدولية جمعية الأدب المقارن اليابانية 1948/الجمعية </w:t>
      </w:r>
      <w:r w:rsidR="00163EB2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الأمريكية</w:t>
      </w:r>
      <w:r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</w:t>
      </w:r>
      <w:r w:rsidR="00163EB2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للأدب</w:t>
      </w:r>
      <w:r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المقارن</w:t>
      </w:r>
      <w:r w:rsidR="009C04D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1960/الرابطة العربية للأدب المقارن1984/الرابطة الدولية للأدب المقارن1955...</w:t>
      </w:r>
    </w:p>
    <w:p w:rsidR="004C615E" w:rsidRDefault="009C04DA" w:rsidP="009C04DA">
      <w:pPr>
        <w:bidi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 w:rsidRPr="009C04DA">
        <w:rPr>
          <w:rFonts w:ascii="Traditional Arabic" w:hAnsi="Traditional Arabic" w:cs="Traditional Arabic" w:hint="cs"/>
          <w:b/>
          <w:bCs/>
          <w:sz w:val="32"/>
          <w:szCs w:val="32"/>
          <w:rtl/>
          <w:lang w:bidi="ar-DZ"/>
        </w:rPr>
        <w:lastRenderedPageBreak/>
        <w:t>ج3-</w:t>
      </w:r>
      <w:r>
        <w:rPr>
          <w:rFonts w:ascii="Traditional Arabic" w:hAnsi="Traditional Arabic" w:cs="Traditional Arabic" w:hint="cs"/>
          <w:b/>
          <w:bCs/>
          <w:sz w:val="32"/>
          <w:szCs w:val="32"/>
          <w:rtl/>
          <w:lang w:bidi="ar-DZ"/>
        </w:rPr>
        <w:t xml:space="preserve">     </w:t>
      </w:r>
      <w:r w:rsidRPr="009C04D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المقصود بالنماذج</w:t>
      </w:r>
      <w:r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تلك النماذج من البشر التي يمثل كل نموذج منها صفة قد تكون حميدة أو رذيلة سلبية </w:t>
      </w:r>
      <w:r w:rsidR="00A51138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أو </w:t>
      </w:r>
      <w:r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إيجابية و التي تصبح مثالا حيا بفضل إبداع الكاتب أو الأديب حين يتخذ منها شخصية يوظفها بطريقة فنية تكسبها الروح التي تخلدها </w:t>
      </w:r>
      <w:r w:rsidR="004C615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و تفرض نفسها فتأخذ سمة العالمية حينما يتأثر </w:t>
      </w:r>
      <w:proofErr w:type="spellStart"/>
      <w:r w:rsidR="004C615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بها</w:t>
      </w:r>
      <w:proofErr w:type="spellEnd"/>
      <w:r w:rsidR="004C615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الآخر فيوظفها انطلاقا من ثقافته و من طبيعة حضورها في مجتمعه ...كالبخيل و البغي </w:t>
      </w:r>
      <w:r w:rsidR="00A40121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و الفارس</w:t>
      </w:r>
      <w:r w:rsidR="004C615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...</w:t>
      </w:r>
    </w:p>
    <w:p w:rsidR="004C615E" w:rsidRDefault="00163EB2" w:rsidP="004C615E">
      <w:pPr>
        <w:bidi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أنواع</w:t>
      </w:r>
      <w:r w:rsidR="004C615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النماذج البشرية: </w:t>
      </w:r>
    </w:p>
    <w:p w:rsidR="004C615E" w:rsidRDefault="004C615E" w:rsidP="004C615E">
      <w:pPr>
        <w:pStyle w:val="a3"/>
        <w:numPr>
          <w:ilvl w:val="0"/>
          <w:numId w:val="2"/>
        </w:numPr>
        <w:bidi/>
        <w:rPr>
          <w:rFonts w:ascii="Traditional Arabic" w:hAnsi="Traditional Arabic" w:cs="Traditional Arabic"/>
          <w:sz w:val="32"/>
          <w:szCs w:val="32"/>
          <w:lang w:bidi="ar-DZ"/>
        </w:rPr>
      </w:pPr>
      <w:r w:rsidRPr="004C615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النماذج </w:t>
      </w:r>
      <w:r w:rsidR="00163EB2" w:rsidRPr="004C615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الإنسانية</w:t>
      </w:r>
      <w:r w:rsidRPr="004C615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</w:t>
      </w:r>
      <w:r w:rsidR="001C23DF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: </w:t>
      </w:r>
      <w:r w:rsidRPr="004C615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هي نماذج من البشر تمثل صفة </w:t>
      </w:r>
      <w:r w:rsidR="00163EB2" w:rsidRPr="004C615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أو</w:t>
      </w:r>
      <w:r w:rsidRPr="004C615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سلوكا أو مهنة ..كالسفاح و الخادم ....</w:t>
      </w:r>
    </w:p>
    <w:p w:rsidR="001C23DF" w:rsidRDefault="004C615E" w:rsidP="001C23DF">
      <w:pPr>
        <w:pStyle w:val="a3"/>
        <w:numPr>
          <w:ilvl w:val="0"/>
          <w:numId w:val="2"/>
        </w:numPr>
        <w:bidi/>
        <w:rPr>
          <w:rFonts w:ascii="Traditional Arabic" w:hAnsi="Traditional Arabic" w:cs="Traditional Arabic"/>
          <w:sz w:val="32"/>
          <w:szCs w:val="32"/>
          <w:lang w:bidi="ar-DZ"/>
        </w:rPr>
      </w:pPr>
      <w:r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النماذج </w:t>
      </w:r>
      <w:r w:rsidR="00163EB2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الأسطورية</w:t>
      </w:r>
      <w:r w:rsidR="001C23DF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:</w:t>
      </w:r>
      <w:r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</w:t>
      </w:r>
      <w:r w:rsidR="001C23DF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هي النماذج المأخوذة من الأساطير التي </w:t>
      </w:r>
      <w:r w:rsidR="00163EB2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أصبحت</w:t>
      </w:r>
      <w:r w:rsidR="001C23DF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تمثل بعدا فلسفيا أو أخلاقيا أو اجتماعيا و </w:t>
      </w:r>
      <w:r w:rsidR="00163EB2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أصبح</w:t>
      </w:r>
      <w:r w:rsidR="001C23DF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لها حضور في مختلف الآداب القومية </w:t>
      </w:r>
      <w:proofErr w:type="spellStart"/>
      <w:r w:rsidR="001C23DF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كأوديب</w:t>
      </w:r>
      <w:proofErr w:type="spellEnd"/>
      <w:r w:rsidR="001C23DF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</w:t>
      </w:r>
      <w:proofErr w:type="spellStart"/>
      <w:r w:rsidR="001C23DF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الكترا</w:t>
      </w:r>
      <w:proofErr w:type="spellEnd"/>
      <w:r w:rsidR="001C23DF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و بجماليون</w:t>
      </w:r>
      <w:r w:rsidR="001C23DF" w:rsidRPr="001C23DF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...</w:t>
      </w:r>
    </w:p>
    <w:p w:rsidR="00A40121" w:rsidRDefault="001C23DF" w:rsidP="001C23DF">
      <w:pPr>
        <w:pStyle w:val="a3"/>
        <w:numPr>
          <w:ilvl w:val="0"/>
          <w:numId w:val="2"/>
        </w:numPr>
        <w:bidi/>
        <w:rPr>
          <w:rFonts w:ascii="Traditional Arabic" w:hAnsi="Traditional Arabic" w:cs="Traditional Arabic"/>
          <w:sz w:val="32"/>
          <w:szCs w:val="32"/>
          <w:lang w:bidi="ar-DZ"/>
        </w:rPr>
      </w:pPr>
      <w:r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النماذج التاريخية: هي تلك الشخصيات التي تبني لنفسها مجدا </w:t>
      </w:r>
      <w:r w:rsidR="00A40121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يطبعها في النفوس و يخلدها في العقول فيتخذها </w:t>
      </w:r>
      <w:r w:rsidR="00163EB2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الأدباء</w:t>
      </w:r>
      <w:r w:rsidR="00A40121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رموزا و موضوعات يعالجون من خلالها قضايا و يقدمون انطلاقا منها </w:t>
      </w:r>
      <w:r w:rsidR="00163EB2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أفكارا</w:t>
      </w:r>
      <w:r w:rsidR="00A40121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...وعادة ما تتنقل هذه الشخصيات من أدب قومي إلى أدب قومي آخر من هذه النماذج كليوباترا ....</w:t>
      </w:r>
    </w:p>
    <w:p w:rsidR="007F3D9F" w:rsidRDefault="00A40121" w:rsidP="00A40121">
      <w:pPr>
        <w:pStyle w:val="a3"/>
        <w:numPr>
          <w:ilvl w:val="0"/>
          <w:numId w:val="2"/>
        </w:numPr>
        <w:bidi/>
        <w:rPr>
          <w:rFonts w:ascii="Traditional Arabic" w:hAnsi="Traditional Arabic" w:cs="Traditional Arabic"/>
          <w:sz w:val="32"/>
          <w:szCs w:val="32"/>
          <w:lang w:bidi="ar-DZ"/>
        </w:rPr>
      </w:pPr>
      <w:r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النماذج الدينية : نعني </w:t>
      </w:r>
      <w:proofErr w:type="spellStart"/>
      <w:r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بها</w:t>
      </w:r>
      <w:proofErr w:type="spellEnd"/>
      <w:r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النماذج </w:t>
      </w:r>
      <w:r w:rsidR="007F3D9F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المرتبطة بالديانات و </w:t>
      </w:r>
      <w:r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المأخوذة </w:t>
      </w:r>
      <w:r w:rsidR="007F3D9F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من الكتب المقدسة أو ما يفسرها ...كشخصية يوسف و </w:t>
      </w:r>
      <w:proofErr w:type="spellStart"/>
      <w:r w:rsidR="007F3D9F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زوليخة</w:t>
      </w:r>
      <w:proofErr w:type="spellEnd"/>
      <w:r w:rsidR="007F3D9F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و الشيطان ...</w:t>
      </w:r>
    </w:p>
    <w:p w:rsidR="007F3D9F" w:rsidRDefault="007F3D9F" w:rsidP="007F3D9F">
      <w:pPr>
        <w:bidi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كيفي التعامل معها : باحث الأدب المقارن له تعامله الخاص مع النماذج البشرية حيث يجب عليه :</w:t>
      </w:r>
    </w:p>
    <w:p w:rsidR="007F3D9F" w:rsidRDefault="007F3D9F" w:rsidP="007F3D9F">
      <w:pPr>
        <w:pStyle w:val="a3"/>
        <w:numPr>
          <w:ilvl w:val="0"/>
          <w:numId w:val="2"/>
        </w:numPr>
        <w:bidi/>
        <w:rPr>
          <w:rFonts w:ascii="Traditional Arabic" w:hAnsi="Traditional Arabic" w:cs="Traditional Arabic"/>
          <w:sz w:val="32"/>
          <w:szCs w:val="32"/>
          <w:lang w:bidi="ar-DZ"/>
        </w:rPr>
      </w:pPr>
      <w:r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أن </w:t>
      </w:r>
      <w:r w:rsidR="003D3F5D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يعرف بهذه الشخصيات </w:t>
      </w:r>
      <w:r w:rsidR="005A1814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و يحدد صفاتها </w:t>
      </w:r>
      <w:r w:rsidR="003D3F5D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و </w:t>
      </w:r>
      <w:r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يبحث عن أصل و منبع هذه النماذج و يتتبع تاريخ</w:t>
      </w:r>
      <w:r w:rsidR="005A1814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و كيفية </w:t>
      </w:r>
      <w:r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انتقالها</w:t>
      </w:r>
      <w:r w:rsidR="003D3F5D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بين الآداب القومية </w:t>
      </w:r>
    </w:p>
    <w:p w:rsidR="007F3D9F" w:rsidRPr="007F3D9F" w:rsidRDefault="007F3D9F" w:rsidP="007F3D9F">
      <w:pPr>
        <w:pStyle w:val="a3"/>
        <w:numPr>
          <w:ilvl w:val="0"/>
          <w:numId w:val="2"/>
        </w:numPr>
        <w:bidi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أن يبحث عن الصلة التاريخية </w:t>
      </w:r>
      <w:r w:rsidR="00163EB2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بين مختلف الكتاب الذين و</w:t>
      </w:r>
      <w:r w:rsidR="003D3F5D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ظفوها و عن ظاهرة التأثير و التأثر و عن السابق في ذلك و اللاحق كما يجب عليه أن </w:t>
      </w:r>
      <w:r w:rsidR="005A1814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يقف على</w:t>
      </w:r>
      <w:r w:rsidR="003D3F5D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</w:t>
      </w:r>
      <w:r w:rsidR="005A1814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الصفات التي احتفظت </w:t>
      </w:r>
      <w:proofErr w:type="spellStart"/>
      <w:r w:rsidR="005A1814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بها</w:t>
      </w:r>
      <w:proofErr w:type="spellEnd"/>
      <w:r w:rsidR="005A1814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و </w:t>
      </w:r>
      <w:r w:rsidR="003D3F5D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ما أضيف فيها من زيادات و طبيعة هذه الزيادات و أسبابها.... </w:t>
      </w:r>
    </w:p>
    <w:p w:rsidR="004C615E" w:rsidRPr="007F3D9F" w:rsidRDefault="004C615E" w:rsidP="007F3D9F">
      <w:pPr>
        <w:bidi/>
        <w:rPr>
          <w:rFonts w:ascii="Traditional Arabic" w:hAnsi="Traditional Arabic" w:cs="Traditional Arabic"/>
          <w:sz w:val="32"/>
          <w:szCs w:val="32"/>
          <w:rtl/>
          <w:lang w:bidi="ar-DZ"/>
        </w:rPr>
      </w:pPr>
    </w:p>
    <w:p w:rsidR="009C04DA" w:rsidRPr="009C04DA" w:rsidRDefault="009C04DA" w:rsidP="004C615E">
      <w:pPr>
        <w:bidi/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</w:pPr>
      <w:r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 </w:t>
      </w:r>
    </w:p>
    <w:sectPr w:rsidR="009C04DA" w:rsidRPr="009C04DA" w:rsidSect="000B41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F1378"/>
    <w:multiLevelType w:val="hybridMultilevel"/>
    <w:tmpl w:val="0E86A146"/>
    <w:lvl w:ilvl="0" w:tplc="115EC870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FC2727"/>
    <w:multiLevelType w:val="hybridMultilevel"/>
    <w:tmpl w:val="EAD2FF0C"/>
    <w:lvl w:ilvl="0" w:tplc="27B847D4">
      <w:start w:val="1"/>
      <w:numFmt w:val="bullet"/>
      <w:lvlText w:val="-"/>
      <w:lvlJc w:val="left"/>
      <w:pPr>
        <w:ind w:left="720" w:hanging="360"/>
      </w:pPr>
      <w:rPr>
        <w:rFonts w:ascii="Traditional Arabic" w:eastAsiaTheme="minorHAnsi" w:hAnsi="Traditional Arabic" w:cs="Traditional Arabic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D5822"/>
    <w:rsid w:val="000B41E1"/>
    <w:rsid w:val="000F7B01"/>
    <w:rsid w:val="00163EB2"/>
    <w:rsid w:val="001965E4"/>
    <w:rsid w:val="001C23DF"/>
    <w:rsid w:val="003D3F5D"/>
    <w:rsid w:val="004C615E"/>
    <w:rsid w:val="00562823"/>
    <w:rsid w:val="005A1814"/>
    <w:rsid w:val="00775BEB"/>
    <w:rsid w:val="007D7059"/>
    <w:rsid w:val="007F3D9F"/>
    <w:rsid w:val="008D5822"/>
    <w:rsid w:val="00957EF7"/>
    <w:rsid w:val="009C04DA"/>
    <w:rsid w:val="00A40121"/>
    <w:rsid w:val="00A51138"/>
    <w:rsid w:val="00DD4D34"/>
    <w:rsid w:val="00E87252"/>
    <w:rsid w:val="00F11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1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7EF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455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5</cp:revision>
  <dcterms:created xsi:type="dcterms:W3CDTF">2020-01-15T15:11:00Z</dcterms:created>
  <dcterms:modified xsi:type="dcterms:W3CDTF">2020-01-15T18:34:00Z</dcterms:modified>
</cp:coreProperties>
</file>